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285858">
      <w:pPr>
        <w:spacing w:line="360" w:lineRule="auto"/>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285858">
      <w:pPr>
        <w:spacing w:line="360" w:lineRule="auto"/>
        <w:rPr>
          <w:b/>
          <w:bCs/>
        </w:rPr>
      </w:pPr>
    </w:p>
    <w:p w14:paraId="493E1D5B" w14:textId="77777777" w:rsidR="00F770C1" w:rsidRPr="00F770C1" w:rsidRDefault="00F770C1" w:rsidP="00285858">
      <w:pPr>
        <w:spacing w:line="360" w:lineRule="auto"/>
      </w:pPr>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Pr="00F770C1" w:rsidRDefault="00F770C1" w:rsidP="00285858">
      <w:pPr>
        <w:spacing w:line="360" w:lineRule="auto"/>
        <w:rPr>
          <w:b/>
          <w:bCs/>
        </w:rPr>
      </w:pPr>
    </w:p>
    <w:p w14:paraId="613EE76B" w14:textId="77777777" w:rsidR="00F770C1" w:rsidRPr="00F770C1" w:rsidRDefault="00F770C1" w:rsidP="00285858">
      <w:pPr>
        <w:spacing w:line="360" w:lineRule="auto"/>
      </w:pPr>
      <w:r w:rsidRPr="00F770C1">
        <w:rPr>
          <w:vertAlign w:val="superscript"/>
        </w:rPr>
        <w:t>1</w:t>
      </w:r>
      <w:r w:rsidRPr="00F770C1">
        <w:t>Department of Biological Sciences, Texas Tech University, Lubbock, TX, USA</w:t>
      </w:r>
    </w:p>
    <w:p w14:paraId="4540CB9D" w14:textId="77777777" w:rsidR="00F770C1" w:rsidRPr="00F770C1" w:rsidRDefault="00F770C1" w:rsidP="00285858">
      <w:pPr>
        <w:spacing w:line="360" w:lineRule="auto"/>
      </w:pPr>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285858">
      <w:pPr>
        <w:spacing w:line="360" w:lineRule="auto"/>
      </w:pPr>
      <w:r w:rsidRPr="00F770C1">
        <w:rPr>
          <w:vertAlign w:val="superscript"/>
        </w:rPr>
        <w:t>3</w:t>
      </w:r>
      <w:r w:rsidRPr="00F770C1">
        <w:t>Institute of Integrative Biology, ETH Zurich, Zurich, Switzerland</w:t>
      </w:r>
    </w:p>
    <w:p w14:paraId="06ABD9D6" w14:textId="77777777" w:rsidR="00F770C1" w:rsidRPr="00F770C1" w:rsidRDefault="00F770C1" w:rsidP="00285858">
      <w:pPr>
        <w:spacing w:line="360" w:lineRule="auto"/>
        <w:rPr>
          <w:b/>
          <w:bCs/>
        </w:rPr>
      </w:pPr>
    </w:p>
    <w:p w14:paraId="09D0AA7B" w14:textId="77777777" w:rsidR="00F770C1" w:rsidRPr="00F770C1" w:rsidRDefault="00F770C1" w:rsidP="00285858">
      <w:pPr>
        <w:spacing w:line="360" w:lineRule="auto"/>
      </w:pPr>
      <w:r w:rsidRPr="00F770C1">
        <w:rPr>
          <w:b/>
          <w:bCs/>
        </w:rPr>
        <w:t>Abstract</w:t>
      </w:r>
    </w:p>
    <w:p w14:paraId="2528EBF4" w14:textId="7880F921" w:rsidR="00F770C1" w:rsidRPr="004A2A88" w:rsidRDefault="00F770C1" w:rsidP="00285858">
      <w:pPr>
        <w:spacing w:line="360" w:lineRule="auto"/>
      </w:pPr>
      <w:r w:rsidRPr="00F770C1">
        <w:t xml:space="preserve">Allelopathic plant invasion reorganizes belowground arbuscular mycorrhizal (AM) communities, which may have important consequences for native plant species resource provisioning, uptake, and allocation to organs that support primary productivity and reproduction. Recent work indicates that changes in arbuscular mycorrhizal community composition due to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Here, we show that </w:t>
      </w:r>
      <w:r w:rsidRPr="00F770C1">
        <w:rPr>
          <w:i/>
          <w:iCs/>
        </w:rPr>
        <w:t>Alliaria petiolata</w:t>
      </w:r>
      <w:r w:rsidRPr="00F770C1">
        <w:t xml:space="preserve">, an allelopathic invader that reorganizes AM fungal communities, modified leaf gas exchange in two understory native AM-associating plant species through different mechanisms. </w:t>
      </w:r>
      <w:r w:rsidRPr="00F770C1">
        <w:rPr>
          <w:i/>
          <w:iCs/>
        </w:rPr>
        <w:t>A</w:t>
      </w:r>
      <w:r w:rsidR="0079579F">
        <w:rPr>
          <w:i/>
          <w:iCs/>
        </w:rPr>
        <w:t>lliaria petiolata</w:t>
      </w:r>
      <w:r w:rsidRPr="00F770C1">
        <w:t xml:space="preserve"> presence decreased net photosynthesis and stomatal conductance in </w:t>
      </w:r>
      <w:r w:rsidRPr="004A2A88">
        <w:rPr>
          <w:i/>
          <w:iCs/>
        </w:rPr>
        <w:t xml:space="preserve">Maianthemum </w:t>
      </w:r>
      <w:proofErr w:type="spellStart"/>
      <w:r w:rsidRPr="004A2A88">
        <w:rPr>
          <w:i/>
          <w:iCs/>
        </w:rPr>
        <w:t>racemosum</w:t>
      </w:r>
      <w:proofErr w:type="spellEnd"/>
      <w:r w:rsidRPr="004A2A88">
        <w:t xml:space="preserve">, increasing stomatal limitation of net photosynthesis. In contrast, </w:t>
      </w:r>
      <w:r w:rsidRPr="004A2A88">
        <w:rPr>
          <w:i/>
          <w:iCs/>
        </w:rPr>
        <w:t>A</w:t>
      </w:r>
      <w:r w:rsidR="00444CFB">
        <w:rPr>
          <w:i/>
          <w:iCs/>
        </w:rPr>
        <w:t>. petiolata</w:t>
      </w:r>
      <w:r w:rsidRPr="004A2A88">
        <w:t xml:space="preserve"> presence decreased maximum rates of Rubisco carboxylation and electron transport for RuBP regeneration in </w:t>
      </w:r>
      <w:r w:rsidRPr="004A2A88">
        <w:rPr>
          <w:i/>
          <w:iCs/>
        </w:rPr>
        <w:t xml:space="preserve">Trillium </w:t>
      </w:r>
      <w:r w:rsidRPr="004A2A88">
        <w:t xml:space="preserve">spp. despite no apparent effect of </w:t>
      </w:r>
      <w:r w:rsidRPr="004A2A88">
        <w:rPr>
          <w:i/>
          <w:iCs/>
        </w:rPr>
        <w:t>A</w:t>
      </w:r>
      <w:r w:rsidR="00444CFB">
        <w:rPr>
          <w:i/>
          <w:iCs/>
        </w:rPr>
        <w:t>. petiolata</w:t>
      </w:r>
      <w:r w:rsidRPr="004A2A88">
        <w:t xml:space="preserve"> presence on net photosynthesis and stomatal conductance. </w:t>
      </w:r>
      <w:r w:rsidR="004A2A88" w:rsidRPr="004A2A88">
        <w:t xml:space="preserve">Interestingly, reduced maximum rates of Rubisco carboxylation and electron transport for RuBP regeneration in </w:t>
      </w:r>
      <w:r w:rsidR="004A2A88" w:rsidRPr="004A2A88">
        <w:rPr>
          <w:i/>
          <w:iCs/>
        </w:rPr>
        <w:t>Trillium</w:t>
      </w:r>
      <w:r w:rsidR="004A2A88" w:rsidRPr="004A2A88">
        <w:t xml:space="preserve"> spp. were only apparent later in the growth season after the tree canopy had closed and soil nitrogen availability had decreased. These patterns suggest that negative effects of </w:t>
      </w:r>
      <w:r w:rsidR="004A2A88" w:rsidRPr="004A2A88">
        <w:rPr>
          <w:i/>
          <w:iCs/>
        </w:rPr>
        <w:t>A</w:t>
      </w:r>
      <w:r w:rsidR="00444CFB">
        <w:rPr>
          <w:i/>
          <w:iCs/>
        </w:rPr>
        <w:t>. petiolata</w:t>
      </w:r>
      <w:r w:rsidR="004A2A88" w:rsidRPr="004A2A88">
        <w:t xml:space="preserve"> presence on leaf physiology </w:t>
      </w:r>
      <w:r w:rsidR="004A2A88">
        <w:t xml:space="preserve">are species-specific, as reduced net photosynthesis rates in </w:t>
      </w:r>
      <w:r w:rsidR="004A2A88">
        <w:rPr>
          <w:i/>
          <w:iCs/>
        </w:rPr>
        <w:t xml:space="preserve">M. </w:t>
      </w:r>
      <w:proofErr w:type="spellStart"/>
      <w:r w:rsidR="004A2A88">
        <w:rPr>
          <w:i/>
          <w:iCs/>
        </w:rPr>
        <w:t>racemosum</w:t>
      </w:r>
      <w:proofErr w:type="spellEnd"/>
      <w:r w:rsidR="004A2A88">
        <w:t xml:space="preserve"> </w:t>
      </w:r>
      <w:r w:rsidR="004A2A88" w:rsidRPr="004A2A88">
        <w:t>were driven by changes in water use</w:t>
      </w:r>
      <w:r w:rsidR="004A2A88">
        <w:t xml:space="preserve"> and reduced photosynthetic capacity in </w:t>
      </w:r>
      <w:r w:rsidR="004A2A88">
        <w:rPr>
          <w:i/>
          <w:iCs/>
        </w:rPr>
        <w:lastRenderedPageBreak/>
        <w:t>Trillium</w:t>
      </w:r>
      <w:r w:rsidR="00444CFB">
        <w:t xml:space="preserve"> spp.</w:t>
      </w:r>
      <w:r w:rsidR="004A2A88">
        <w:t xml:space="preserve"> were likely driven by changes in nitrogen uptake and/or allocation to photosynthetic leaf tissue.</w:t>
      </w:r>
      <w:r w:rsidR="004A2A88" w:rsidRPr="004A2A88">
        <w:t xml:space="preserve"> </w:t>
      </w:r>
      <w:r w:rsidR="0079579F">
        <w:t>R</w:t>
      </w:r>
      <w:r w:rsidR="004A2A88" w:rsidRPr="004A2A88">
        <w:t>esults</w:t>
      </w:r>
      <w:r w:rsidR="0079579F">
        <w:t xml:space="preserve"> also</w:t>
      </w:r>
      <w:r w:rsidR="004A2A88" w:rsidRPr="004A2A88">
        <w:t xml:space="preserve"> point to the idea that effects of allelopathic plant invasion on native plant physiology may partly hinge on changes in soil nutrient supply and/or demand for building and maintaining photosynthetic enzymes.</w:t>
      </w:r>
    </w:p>
    <w:p w14:paraId="6830EAEF" w14:textId="77777777" w:rsidR="004A2A88" w:rsidRPr="00F770C1" w:rsidRDefault="004A2A88" w:rsidP="00285858">
      <w:pPr>
        <w:spacing w:line="360" w:lineRule="auto"/>
      </w:pPr>
    </w:p>
    <w:p w14:paraId="2DF0BD1E" w14:textId="77777777" w:rsidR="00F770C1" w:rsidRPr="00F770C1" w:rsidRDefault="00F770C1" w:rsidP="00285858">
      <w:pPr>
        <w:spacing w:line="360" w:lineRule="auto"/>
        <w:rPr>
          <w:b/>
          <w:bCs/>
        </w:rPr>
      </w:pPr>
      <w:r w:rsidRPr="00F770C1">
        <w:rPr>
          <w:b/>
          <w:bCs/>
        </w:rPr>
        <w:t>Introduction</w:t>
      </w:r>
    </w:p>
    <w:p w14:paraId="6CA9578F" w14:textId="4297A35E" w:rsidR="004A2A88" w:rsidRDefault="00E23690" w:rsidP="00285858">
      <w:pPr>
        <w:spacing w:line="360" w:lineRule="auto"/>
      </w:pPr>
      <w:r>
        <w:t>[initial invasion statistics</w:t>
      </w:r>
      <w:r w:rsidR="00CE0882">
        <w:t>, why do we care about invasion in the face of global change etc.</w:t>
      </w:r>
      <w:r>
        <w:t>]</w:t>
      </w:r>
    </w:p>
    <w:p w14:paraId="556A46C0" w14:textId="13F3D7B0" w:rsidR="00E23690" w:rsidRDefault="00E23690" w:rsidP="00285858">
      <w:pPr>
        <w:spacing w:line="360" w:lineRule="auto"/>
      </w:pPr>
      <w:r>
        <w:tab/>
        <w:t>[allelopathy</w:t>
      </w:r>
      <w:r w:rsidR="00CE0882">
        <w:t xml:space="preserve">, </w:t>
      </w:r>
      <w:proofErr w:type="gramStart"/>
      <w:r w:rsidR="00CE0882">
        <w:t>hone in on</w:t>
      </w:r>
      <w:proofErr w:type="gramEnd"/>
      <w:r w:rsidR="00CE0882">
        <w:t xml:space="preserve"> allelopathy as a pervasive mechanism in plant invasion tactics</w:t>
      </w:r>
      <w:r>
        <w:t>]</w:t>
      </w:r>
    </w:p>
    <w:p w14:paraId="40BC96DF" w14:textId="1A7163D5" w:rsidR="00E23690" w:rsidRDefault="00E23690" w:rsidP="00285858">
      <w:pPr>
        <w:spacing w:line="360" w:lineRule="auto"/>
      </w:pPr>
      <w:r>
        <w:tab/>
        <w:t>[mutualism disruption hypothesis</w:t>
      </w:r>
      <w:r w:rsidR="00CE0882">
        <w:t>, tie in physiology as first indicator of disruption</w:t>
      </w:r>
      <w:r>
        <w:t>]</w:t>
      </w:r>
    </w:p>
    <w:p w14:paraId="065DB8DA" w14:textId="3988976B" w:rsidR="00E23690" w:rsidRDefault="00E23690" w:rsidP="00285858">
      <w:pPr>
        <w:spacing w:line="360" w:lineRule="auto"/>
      </w:pPr>
      <w:r>
        <w:tab/>
        <w:t>[</w:t>
      </w:r>
      <w:r w:rsidR="00CE0882">
        <w:t xml:space="preserve">first principles of </w:t>
      </w:r>
      <w:r w:rsidR="00444CFB">
        <w:t xml:space="preserve">PLCT </w:t>
      </w:r>
      <w:r>
        <w:t>theory]</w:t>
      </w:r>
    </w:p>
    <w:p w14:paraId="6C6ED110" w14:textId="386FDCED" w:rsidR="00E23690" w:rsidRDefault="00E23690" w:rsidP="00CE0882">
      <w:pPr>
        <w:spacing w:line="360" w:lineRule="auto"/>
        <w:ind w:left="720"/>
      </w:pPr>
      <w:r>
        <w:t xml:space="preserve">[summary of </w:t>
      </w:r>
      <w:proofErr w:type="spellStart"/>
      <w:r>
        <w:t>Bialic</w:t>
      </w:r>
      <w:proofErr w:type="spellEnd"/>
      <w:r>
        <w:t>-Murphy et al. (2021)</w:t>
      </w:r>
      <w:r w:rsidR="00CE0882">
        <w:t>, knowledge gap statement (i.e. Vcmax/Jmax)</w:t>
      </w:r>
      <w:r>
        <w:t>]</w:t>
      </w:r>
    </w:p>
    <w:p w14:paraId="7C43352E" w14:textId="059A47D5" w:rsidR="00F770C1" w:rsidRPr="00F770C1" w:rsidRDefault="00F770C1" w:rsidP="00D62E48">
      <w:pPr>
        <w:spacing w:line="360" w:lineRule="auto"/>
        <w:ind w:firstLine="720"/>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DF31C2">
        <w:t xml:space="preserve"> These species are understory perennial herbs with wide distributions in temperate forests of the northeastern United States</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D62E48" w:rsidRPr="00D62E48">
            <w:rPr>
              <w:color w:val="000000"/>
            </w:rPr>
            <w:t>(USDA NRCS, 2022)</w:t>
          </w:r>
        </w:sdtContent>
      </w:sdt>
      <w:r w:rsidR="00293A02">
        <w:t>. Both species form rhizomes</w:t>
      </w:r>
      <w:r w:rsidR="00B46D0F">
        <w:t xml:space="preserve"> and associat</w:t>
      </w:r>
      <w:r w:rsidR="00D62E48">
        <w:t>e</w:t>
      </w:r>
      <w:r w:rsidR="00B46D0F">
        <w:t xml:space="preserve"> with arbuscular mycorrhizal fungi</w:t>
      </w:r>
      <w:r w:rsidR="00D62E48">
        <w:t xml:space="preserve"> (cite)</w:t>
      </w:r>
      <w:r w:rsidR="00B46D0F">
        <w:t>.</w:t>
      </w:r>
      <w:r w:rsidR="00D62E48">
        <w:t xml:space="preserve"> Previous work notes that 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D62E48">
            <w:rPr>
              <w:rFonts w:eastAsia="Times New Roman"/>
            </w:rPr>
            <w:t>(</w:t>
          </w:r>
          <w:proofErr w:type="spellStart"/>
          <w:r w:rsidR="00D62E48">
            <w:rPr>
              <w:rFonts w:eastAsia="Times New Roman"/>
            </w:rPr>
            <w:t>Heberling</w:t>
          </w:r>
          <w:proofErr w:type="spellEnd"/>
          <w:r w:rsidR="00D62E48">
            <w:rPr>
              <w:rFonts w:eastAsia="Times New Roman"/>
            </w:rPr>
            <w:t xml:space="preserve"> </w:t>
          </w:r>
          <w:r w:rsidR="00D62E48">
            <w:rPr>
              <w:rFonts w:eastAsia="Times New Roman"/>
              <w:i/>
              <w:iCs/>
            </w:rPr>
            <w:t>et al.</w:t>
          </w:r>
          <w:r w:rsidR="00D62E48">
            <w:rPr>
              <w:rFonts w:eastAsia="Times New Roman"/>
            </w:rPr>
            <w:t>, 2019)</w:t>
          </w:r>
        </w:sdtContent>
      </w:sdt>
      <w:r w:rsidR="00D62E48">
        <w:t xml:space="preserve">. </w:t>
      </w:r>
      <w:r w:rsidRPr="00F770C1">
        <w:t xml:space="preserve">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1932DB26"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6909C779"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 physiology more strongly early in the growth season when the canopy is open, as demand for soil resources to support photosynthetic capacity will be greatest during this timepoint.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 xml:space="preserve">impact species physiology more strongly later when the tree </w:t>
      </w:r>
      <w:r w:rsidRPr="00F770C1">
        <w:lastRenderedPageBreak/>
        <w:t>canopy was closed due to progressive reductions in soil nutrient supply as the growth season progresses</w:t>
      </w:r>
    </w:p>
    <w:p w14:paraId="0D9B1104" w14:textId="77777777" w:rsidR="00F770C1" w:rsidRPr="00F770C1" w:rsidRDefault="00F770C1" w:rsidP="00285858">
      <w:pPr>
        <w:spacing w:line="360" w:lineRule="auto"/>
      </w:pPr>
    </w:p>
    <w:p w14:paraId="10E88D90" w14:textId="77777777" w:rsidR="00F770C1" w:rsidRPr="00F770C1" w:rsidRDefault="00F770C1" w:rsidP="00285858">
      <w:pPr>
        <w:spacing w:line="360" w:lineRule="auto"/>
        <w:rPr>
          <w:b/>
          <w:bCs/>
        </w:rPr>
      </w:pPr>
      <w:r w:rsidRPr="00F770C1">
        <w:rPr>
          <w:b/>
          <w:bCs/>
        </w:rPr>
        <w:t>Methods</w:t>
      </w:r>
    </w:p>
    <w:p w14:paraId="448B8F40" w14:textId="77777777" w:rsidR="00F770C1" w:rsidRPr="00F770C1" w:rsidRDefault="00F770C1" w:rsidP="00285858">
      <w:pPr>
        <w:spacing w:line="360" w:lineRule="auto"/>
      </w:pPr>
      <w:r w:rsidRPr="00F770C1">
        <w:rPr>
          <w:i/>
          <w:iCs/>
        </w:rPr>
        <w:t>Study site and experimental design</w:t>
      </w:r>
    </w:p>
    <w:p w14:paraId="6823CD9A" w14:textId="09B42F35" w:rsidR="00F77F2C" w:rsidRDefault="00F770C1" w:rsidP="00285858">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D62E48">
            <w:rPr>
              <w:rFonts w:eastAsia="Times New Roman"/>
            </w:rPr>
            <w:t>(</w:t>
          </w:r>
          <w:proofErr w:type="spellStart"/>
          <w:r w:rsidR="00D62E48">
            <w:rPr>
              <w:rFonts w:eastAsia="Times New Roman"/>
            </w:rPr>
            <w:t>Palecki</w:t>
          </w:r>
          <w:proofErr w:type="spellEnd"/>
          <w:r w:rsidR="00D62E48">
            <w:rPr>
              <w:rFonts w:eastAsia="Times New Roman"/>
            </w:rPr>
            <w:t xml:space="preserve"> </w:t>
          </w:r>
          <w:r w:rsidR="00D62E48">
            <w:rPr>
              <w:rFonts w:eastAsia="Times New Roman"/>
              <w:i/>
              <w:iCs/>
            </w:rPr>
            <w:t>et al.</w:t>
          </w:r>
          <w:r w:rsidR="00D62E48">
            <w:rPr>
              <w:rFonts w:eastAsia="Times New Roman"/>
            </w:rPr>
            <w:t>, 2021)</w:t>
          </w:r>
        </w:sdtContent>
      </w:sdt>
      <w:r w:rsidRPr="00F770C1">
        <w:t xml:space="preserve">. Wire fences (2.5 m tall) were set up in 2002 at five 14 x 14 m experimental plots to exclude deer. </w:t>
      </w:r>
      <w:r w:rsidRPr="00F770C1">
        <w:rPr>
          <w:i/>
          <w:iCs/>
        </w:rPr>
        <w:t>A</w:t>
      </w:r>
      <w:r w:rsidR="00E23690">
        <w:rPr>
          <w:i/>
          <w:iCs/>
        </w:rPr>
        <w:t>.</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 </w:t>
      </w:r>
      <w:sdt>
        <w:sdtPr>
          <w:tag w:val="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
          <w:id w:val="1599058334"/>
          <w:placeholder>
            <w:docPart w:val="1B45E6CBD4D18A4CABCF44403BCF2EC2"/>
          </w:placeholder>
        </w:sdtPr>
        <w:sdtContent>
          <w:r w:rsidR="00D62E48">
            <w:rPr>
              <w:rFonts w:eastAsia="Times New Roman"/>
            </w:rPr>
            <w:t xml:space="preserve">(Roche </w:t>
          </w:r>
          <w:r w:rsidR="00D62E48">
            <w:rPr>
              <w:rFonts w:eastAsia="Times New Roman"/>
              <w:i/>
              <w:iCs/>
            </w:rPr>
            <w:t>et al.</w:t>
          </w:r>
          <w:r w:rsidR="00D62E48">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23F6D68E" w:rsidR="00F770C1" w:rsidRPr="00F770C1" w:rsidRDefault="00F770C1" w:rsidP="00285858">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xml:space="preserve">. Gas exchange data were collected at two timepoints: once during an initial measurement period where the upper canopy was establishing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xml:space="preserve">) and a second measurement period where the upper canopy had fully established (June 12 through June 15 for both species). The initial measurement period was conducted at separate timepoints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285858">
      <w:pPr>
        <w:spacing w:line="360" w:lineRule="auto"/>
      </w:pPr>
    </w:p>
    <w:p w14:paraId="248C17D4" w14:textId="77777777" w:rsidR="00F770C1" w:rsidRPr="002C35BD" w:rsidRDefault="00F770C1" w:rsidP="00285858">
      <w:pPr>
        <w:spacing w:line="360" w:lineRule="auto"/>
      </w:pPr>
      <w:commentRangeStart w:id="0"/>
      <w:r w:rsidRPr="002C35BD">
        <w:rPr>
          <w:i/>
          <w:iCs/>
        </w:rPr>
        <w:t>Soil characteristics</w:t>
      </w:r>
      <w:commentRangeEnd w:id="0"/>
      <w:r w:rsidR="00DF31C2">
        <w:rPr>
          <w:rStyle w:val="CommentReference"/>
        </w:rPr>
        <w:commentReference w:id="0"/>
      </w:r>
    </w:p>
    <w:p w14:paraId="22D61DFC" w14:textId="0B87EF01" w:rsidR="002D307F" w:rsidRPr="002D307F" w:rsidRDefault="002C35BD" w:rsidP="00285858">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w:t>
      </w:r>
      <w:r w:rsidR="00491AB4">
        <w:rPr>
          <w:color w:val="000000" w:themeColor="text1"/>
          <w:vertAlign w:val="superscript"/>
        </w:rPr>
        <w:lastRenderedPageBreak/>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(XX days),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D62E48">
            <w:rPr>
              <w:rFonts w:eastAsia="Times New Roman"/>
            </w:rPr>
            <w:t>(</w:t>
          </w:r>
          <w:proofErr w:type="spellStart"/>
          <w:r w:rsidR="00D62E48">
            <w:rPr>
              <w:rFonts w:eastAsia="Times New Roman"/>
            </w:rPr>
            <w:t>Akana</w:t>
          </w:r>
          <w:proofErr w:type="spellEnd"/>
          <w:r w:rsidR="00D62E48">
            <w:rPr>
              <w:rFonts w:eastAsia="Times New Roman"/>
            </w:rPr>
            <w:t xml:space="preserve"> </w:t>
          </w:r>
          <w:r w:rsidR="00D62E48">
            <w:rPr>
              <w:rFonts w:eastAsia="Times New Roman"/>
              <w:i/>
              <w:iCs/>
            </w:rPr>
            <w:t>et al.</w:t>
          </w:r>
          <w:r w:rsidR="00D62E48">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D62E48">
            <w:rPr>
              <w:rFonts w:eastAsia="Times New Roman"/>
            </w:rPr>
            <w:t>(</w:t>
          </w:r>
          <w:proofErr w:type="spellStart"/>
          <w:r w:rsidR="00D62E48">
            <w:rPr>
              <w:rFonts w:eastAsia="Times New Roman"/>
            </w:rPr>
            <w:t>Weatherburn</w:t>
          </w:r>
          <w:proofErr w:type="spellEnd"/>
          <w:r w:rsidR="00D62E48">
            <w:rPr>
              <w:rFonts w:eastAsia="Times New Roman"/>
            </w:rPr>
            <w:t xml:space="preserve">, 1967; </w:t>
          </w:r>
          <w:proofErr w:type="spellStart"/>
          <w:r w:rsidR="00D62E48">
            <w:rPr>
              <w:rFonts w:eastAsia="Times New Roman"/>
            </w:rPr>
            <w:t>Lajtha</w:t>
          </w:r>
          <w:proofErr w:type="spellEnd"/>
          <w:r w:rsidR="00D62E48">
            <w:rPr>
              <w:rFonts w:eastAsia="Times New Roman"/>
            </w:rPr>
            <w:t xml:space="preserve"> </w:t>
          </w:r>
          <w:r w:rsidR="00D62E48">
            <w:rPr>
              <w:rFonts w:eastAsia="Times New Roman"/>
              <w:i/>
              <w:iCs/>
            </w:rPr>
            <w:t>et al.</w:t>
          </w:r>
          <w:r w:rsidR="00D62E48">
            <w:rPr>
              <w:rFonts w:eastAsia="Times New Roman"/>
            </w:rPr>
            <w:t xml:space="preserve">, 1999; D’Angelo </w:t>
          </w:r>
          <w:r w:rsidR="00D62E48">
            <w:rPr>
              <w:rFonts w:eastAsia="Times New Roman"/>
              <w:i/>
              <w:iCs/>
            </w:rPr>
            <w:t>et al.</w:t>
          </w:r>
          <w:r w:rsidR="00D62E48">
            <w:rPr>
              <w:rFonts w:eastAsia="Times New Roman"/>
            </w:rPr>
            <w:t xml:space="preserve">, 2001; </w:t>
          </w:r>
          <w:proofErr w:type="spellStart"/>
          <w:r w:rsidR="00D62E48">
            <w:rPr>
              <w:rFonts w:eastAsia="Times New Roman"/>
            </w:rPr>
            <w:t>Doane</w:t>
          </w:r>
          <w:proofErr w:type="spellEnd"/>
          <w:r w:rsidR="00D62E48">
            <w:rPr>
              <w:rFonts w:eastAsia="Times New Roman"/>
            </w:rPr>
            <w:t xml:space="preserve"> &amp; </w:t>
          </w:r>
          <w:proofErr w:type="spellStart"/>
          <w:r w:rsidR="00D62E48">
            <w:rPr>
              <w:rFonts w:eastAsia="Times New Roman"/>
            </w:rPr>
            <w:t>Horwáth</w:t>
          </w:r>
          <w:proofErr w:type="spellEnd"/>
          <w:r w:rsidR="00D62E48">
            <w:rPr>
              <w:rFonts w:eastAsia="Times New Roman"/>
            </w:rPr>
            <w:t>, 2003)</w:t>
          </w:r>
        </w:sdtContent>
      </w:sdt>
      <w:r w:rsidR="00DF31C2">
        <w:rPr>
          <w:color w:val="000000" w:themeColor="text1"/>
        </w:rPr>
        <w:t>.</w:t>
      </w:r>
      <w:r w:rsidR="0079579F">
        <w:rPr>
          <w:color w:val="000000" w:themeColor="text1"/>
        </w:rPr>
        <w:t xml:space="preserve"> A</w:t>
      </w:r>
      <w:r w:rsidR="0079579F">
        <w:rPr>
          <w:color w:val="000000" w:themeColor="text1"/>
        </w:rPr>
        <w:t xml:space="preserve">mmonium, nitrate, </w:t>
      </w:r>
      <w:r w:rsidR="0079579F">
        <w:rPr>
          <w:color w:val="000000" w:themeColor="text1"/>
        </w:rPr>
        <w:t xml:space="preserve">and </w:t>
      </w:r>
      <w:r w:rsidR="0079579F">
        <w:rPr>
          <w:color w:val="000000" w:themeColor="text1"/>
        </w:rPr>
        <w:t xml:space="preserve">phosphate </w:t>
      </w:r>
      <w:r w:rsidR="0079579F">
        <w:rPr>
          <w:color w:val="000000" w:themeColor="text1"/>
        </w:rPr>
        <w:t>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w:t>
      </w:r>
      <w:r w:rsidR="00491AB4">
        <w:rPr>
          <w:color w:val="000000" w:themeColor="text1"/>
        </w:rPr>
        <w:t xml:space="preserve">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standardized ammonium and nitrate concentrations. </w:t>
      </w:r>
    </w:p>
    <w:p w14:paraId="61AD99C8" w14:textId="77777777" w:rsidR="00F770C1" w:rsidRPr="00F770C1" w:rsidRDefault="00F770C1" w:rsidP="00285858">
      <w:pPr>
        <w:spacing w:line="360" w:lineRule="auto"/>
      </w:pPr>
    </w:p>
    <w:p w14:paraId="5BF17222" w14:textId="77777777" w:rsidR="00F770C1" w:rsidRPr="00F770C1" w:rsidRDefault="00F770C1" w:rsidP="00285858">
      <w:pPr>
        <w:spacing w:line="360" w:lineRule="auto"/>
        <w:rPr>
          <w:i/>
          <w:iCs/>
        </w:rPr>
      </w:pPr>
      <w:r w:rsidRPr="00F770C1">
        <w:rPr>
          <w:i/>
          <w:iCs/>
        </w:rPr>
        <w:t>Gas exchange measurements and calculations</w:t>
      </w:r>
    </w:p>
    <w:p w14:paraId="58B47271" w14:textId="1856D49F" w:rsidR="00F770C1" w:rsidRPr="00F770C1" w:rsidRDefault="00F770C1" w:rsidP="00285858">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D62E48">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50E76014" w:rsidR="00F770C1" w:rsidRPr="00F770C1" w:rsidRDefault="00F770C1" w:rsidP="00F770C1">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D62E48">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770C1">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770C1">
      <w:pPr>
        <w:tabs>
          <w:tab w:val="left" w:pos="593"/>
        </w:tabs>
        <w:autoSpaceDE w:val="0"/>
        <w:autoSpaceDN w:val="0"/>
        <w:adjustRightInd w:val="0"/>
        <w:spacing w:line="360" w:lineRule="auto"/>
        <w:rPr>
          <w:color w:val="000000"/>
        </w:rPr>
      </w:pPr>
      <w:proofErr w:type="spellStart"/>
      <w:r w:rsidRPr="00F770C1">
        <w:rPr>
          <w:i/>
          <w:iCs/>
          <w:color w:val="000000"/>
        </w:rPr>
        <w:lastRenderedPageBreak/>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770C1">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770C1">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770C1">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0F2F7E4E" w:rsidR="00F770C1" w:rsidRPr="00F770C1" w:rsidRDefault="00F770C1" w:rsidP="00F770C1">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D62E48" w:rsidRPr="00D62E48">
            <w:rPr>
              <w:rFonts w:eastAsia="Times New Roman"/>
              <w:color w:val="000000"/>
            </w:rPr>
            <w:t>Bernacchi</w:t>
          </w:r>
          <w:proofErr w:type="spellEnd"/>
          <w:r w:rsidR="00D62E48" w:rsidRPr="00D62E48">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770C1">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770C1">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285858">
      <w:pPr>
        <w:spacing w:line="360" w:lineRule="auto"/>
        <w:rPr>
          <w:i/>
          <w:iCs/>
        </w:rPr>
      </w:pPr>
    </w:p>
    <w:p w14:paraId="15A55CC8" w14:textId="77777777" w:rsidR="00F770C1" w:rsidRPr="00F770C1" w:rsidRDefault="00F770C1" w:rsidP="00285858">
      <w:pPr>
        <w:spacing w:line="360" w:lineRule="auto"/>
      </w:pPr>
      <w:r w:rsidRPr="00F770C1">
        <w:rPr>
          <w:i/>
          <w:iCs/>
        </w:rPr>
        <w:t>A/Ci curve fitting and parameter estimation</w:t>
      </w:r>
    </w:p>
    <w:p w14:paraId="2CDBBCC9" w14:textId="6B1D1A1C" w:rsidR="00F770C1" w:rsidRPr="00F770C1" w:rsidRDefault="00F770C1" w:rsidP="00285858">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D62E48" w:rsidRPr="00D62E48">
            <w:rPr>
              <w:color w:val="000000"/>
            </w:rPr>
            <w:t>(</w:t>
          </w:r>
          <w:proofErr w:type="spellStart"/>
          <w:r w:rsidR="00D62E48" w:rsidRPr="00D62E48">
            <w:rPr>
              <w:color w:val="000000"/>
            </w:rPr>
            <w:t>Duursma</w:t>
          </w:r>
          <w:proofErr w:type="spellEnd"/>
          <w:r w:rsidR="00D62E48" w:rsidRPr="00D62E48">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D62E48">
            <w:rPr>
              <w:rFonts w:eastAsia="Times New Roman"/>
            </w:rPr>
            <w:t xml:space="preserve">Farquhar </w:t>
          </w:r>
          <w:r w:rsidR="00D62E48">
            <w:rPr>
              <w:rFonts w:eastAsia="Times New Roman"/>
              <w:i/>
              <w:iCs/>
            </w:rPr>
            <w:t>et al.</w:t>
          </w:r>
          <w:r w:rsidR="00491AB4">
            <w:rPr>
              <w:rFonts w:eastAsia="Times New Roman"/>
            </w:rPr>
            <w:t xml:space="preserve"> (</w:t>
          </w:r>
          <w:r w:rsidR="00D62E48">
            <w:rPr>
              <w:rFonts w:eastAsia="Times New Roman"/>
            </w:rPr>
            <w:t>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614F7790" w:rsidR="00F770C1" w:rsidRPr="00F770C1" w:rsidRDefault="00F770C1" w:rsidP="00F770C1">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D62E48">
            <w:rPr>
              <w:rFonts w:eastAsia="Times New Roman"/>
            </w:rPr>
            <w:t>Kattge</w:t>
          </w:r>
          <w:proofErr w:type="spellEnd"/>
          <w:r w:rsidR="00D62E48">
            <w:rPr>
              <w:rFonts w:eastAsia="Times New Roman"/>
            </w:rPr>
            <w:t xml:space="preserve"> &amp; Knorr (2007)</w:t>
          </w:r>
        </w:sdtContent>
      </w:sdt>
      <w:r w:rsidRPr="00F770C1">
        <w:rPr>
          <w:color w:val="000000"/>
        </w:rPr>
        <w:t>:</w:t>
      </w:r>
    </w:p>
    <w:p w14:paraId="4BC050A9" w14:textId="0E393F13"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1FCC1421" w:rsidR="00F770C1" w:rsidRPr="00F770C1" w:rsidRDefault="00F770C1" w:rsidP="004B0D95">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D62E48">
            <w:rPr>
              <w:rFonts w:eastAsia="Times New Roman"/>
            </w:rPr>
            <w:t>Kattge</w:t>
          </w:r>
          <w:proofErr w:type="spellEnd"/>
          <w:r w:rsidR="00D62E48">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D62E48">
            <w:rPr>
              <w:rFonts w:eastAsia="Times New Roman"/>
            </w:rPr>
            <w:t>Kattge</w:t>
          </w:r>
          <w:proofErr w:type="spellEnd"/>
          <w:r w:rsidR="00D62E48">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D62E48" w:rsidRPr="00D62E48">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D62E48">
            <w:rPr>
              <w:rFonts w:eastAsia="Times New Roman"/>
            </w:rPr>
            <w:t>Kattge</w:t>
          </w:r>
          <w:proofErr w:type="spellEnd"/>
          <w:r w:rsidR="00D62E48">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4B0D95">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26349C33" w:rsidR="00F770C1" w:rsidRPr="00F770C1" w:rsidRDefault="00F770C1" w:rsidP="004B0D95">
      <w:pPr>
        <w:spacing w:line="36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285858">
      <w:pPr>
        <w:spacing w:line="360" w:lineRule="auto"/>
        <w:rPr>
          <w:i/>
          <w:iCs/>
        </w:rPr>
      </w:pPr>
    </w:p>
    <w:p w14:paraId="440C2553" w14:textId="77777777" w:rsidR="00F770C1" w:rsidRPr="00F770C1" w:rsidRDefault="00F770C1" w:rsidP="00285858">
      <w:pPr>
        <w:spacing w:line="360" w:lineRule="auto"/>
      </w:pPr>
      <w:r w:rsidRPr="00F770C1">
        <w:rPr>
          <w:i/>
          <w:iCs/>
        </w:rPr>
        <w:t>Data analysis</w:t>
      </w:r>
    </w:p>
    <w:p w14:paraId="2100CC14" w14:textId="012B296D" w:rsidR="00F770C1" w:rsidRPr="00F770C1" w:rsidRDefault="00F770C1" w:rsidP="00285858">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463ACC98" w:rsidR="00F770C1" w:rsidRPr="00F770C1" w:rsidRDefault="00F770C1" w:rsidP="004C5407">
      <w:pPr>
        <w:spacing w:line="360" w:lineRule="auto"/>
      </w:pPr>
      <w:r w:rsidRPr="00F770C1">
        <w:tab/>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w:t>
      </w:r>
      <w:r w:rsidRPr="00F770C1">
        <w:lastRenderedPageBreak/>
        <w:t xml:space="preserve">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F7E2C93" w:rsidR="00F770C1" w:rsidRPr="00F770C1" w:rsidRDefault="00F770C1" w:rsidP="002F4E97">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15FD05D1" w:rsidR="00F770C1" w:rsidRPr="00F770C1" w:rsidRDefault="00F770C1" w:rsidP="002F4E97">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D62E48">
            <w:rPr>
              <w:rFonts w:eastAsia="Times New Roman"/>
            </w:rPr>
            <w:t xml:space="preserve">(Bates </w:t>
          </w:r>
          <w:r w:rsidR="00D62E48">
            <w:rPr>
              <w:rFonts w:eastAsia="Times New Roman"/>
              <w:i/>
              <w:iCs/>
            </w:rPr>
            <w:t>et al.</w:t>
          </w:r>
          <w:r w:rsidR="00D62E48">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D62E48">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D62E48" w:rsidRPr="00D62E48">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D62E48">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D62E48" w:rsidRPr="00D62E48">
            <w:rPr>
              <w:color w:val="000000"/>
            </w:rPr>
            <w:t>(R Core Team, 2021)</w:t>
          </w:r>
        </w:sdtContent>
      </w:sdt>
      <w:r w:rsidRPr="00F770C1">
        <w:t>.</w:t>
      </w:r>
    </w:p>
    <w:p w14:paraId="1602E3FB" w14:textId="77777777" w:rsidR="00D910AD" w:rsidRDefault="00D910AD" w:rsidP="00913D0D">
      <w:pPr>
        <w:spacing w:line="360" w:lineRule="auto"/>
      </w:pPr>
    </w:p>
    <w:p w14:paraId="061330D3" w14:textId="7B94C97E" w:rsidR="00F770C1" w:rsidRPr="00F770C1" w:rsidRDefault="00F770C1" w:rsidP="00913D0D">
      <w:pPr>
        <w:spacing w:line="360" w:lineRule="auto"/>
      </w:pPr>
      <w:r w:rsidRPr="00F770C1">
        <w:rPr>
          <w:b/>
          <w:bCs/>
        </w:rPr>
        <w:t>Results</w:t>
      </w:r>
    </w:p>
    <w:p w14:paraId="2944CE6B" w14:textId="77777777" w:rsidR="00F770C1" w:rsidRPr="00F770C1" w:rsidRDefault="00F770C1" w:rsidP="00913D0D">
      <w:pPr>
        <w:spacing w:line="360" w:lineRule="auto"/>
      </w:pPr>
      <w:r w:rsidRPr="00F770C1">
        <w:rPr>
          <w:i/>
          <w:iCs/>
        </w:rPr>
        <w:t>Soil nutrient availability</w:t>
      </w:r>
    </w:p>
    <w:p w14:paraId="69495CEE" w14:textId="325C723B" w:rsidR="00843EA1" w:rsidRDefault="002D307F" w:rsidP="007C6A92">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xml:space="preserve">. </w:t>
      </w:r>
      <w:r w:rsidR="00E23690">
        <w:rPr>
          <w:i/>
          <w:iCs/>
        </w:rPr>
        <w:lastRenderedPageBreak/>
        <w:t>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843EA1">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7C6A92">
      <w:pPr>
        <w:spacing w:line="360" w:lineRule="auto"/>
      </w:pPr>
    </w:p>
    <w:p w14:paraId="20DE2BDB" w14:textId="2E4D11A3" w:rsidR="00843EA1" w:rsidRPr="00843EA1" w:rsidRDefault="00843EA1" w:rsidP="007C6A92">
      <w:pPr>
        <w:spacing w:line="360" w:lineRule="auto"/>
        <w:sectPr w:rsidR="00843EA1" w:rsidRPr="00843EA1" w:rsidSect="007B7F8E">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7C6A92">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7C6A92">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7B7F8E">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E9001C">
      <w:pPr>
        <w:spacing w:line="360" w:lineRule="auto"/>
        <w:rPr>
          <w:b/>
          <w:bCs/>
        </w:rPr>
      </w:pPr>
      <w:r w:rsidRPr="00F770C1">
        <w:rPr>
          <w:b/>
          <w:bCs/>
        </w:rPr>
        <w:lastRenderedPageBreak/>
        <w:t>Figure 1</w:t>
      </w:r>
    </w:p>
    <w:p w14:paraId="42B6F9C2" w14:textId="77777777" w:rsidR="00F770C1" w:rsidRPr="00F770C1" w:rsidRDefault="00F770C1" w:rsidP="00D35F57">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E9001C">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E9001C">
      <w:pPr>
        <w:spacing w:line="360" w:lineRule="auto"/>
      </w:pPr>
      <w:r w:rsidRPr="00F770C1">
        <w:br w:type="page"/>
      </w:r>
    </w:p>
    <w:p w14:paraId="65F528D9" w14:textId="77777777" w:rsidR="00F770C1" w:rsidRPr="00F770C1" w:rsidRDefault="00F770C1" w:rsidP="000934ED">
      <w:pPr>
        <w:spacing w:line="360" w:lineRule="auto"/>
      </w:pPr>
      <w:r w:rsidRPr="00F770C1">
        <w:rPr>
          <w:i/>
          <w:iCs/>
        </w:rPr>
        <w:lastRenderedPageBreak/>
        <w:t>Gas exchange</w:t>
      </w:r>
    </w:p>
    <w:p w14:paraId="092D07A5" w14:textId="1F514841" w:rsidR="00F770C1" w:rsidRPr="00F770C1" w:rsidRDefault="00F770C1" w:rsidP="000934ED">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555FA434" w:rsidR="00F770C1" w:rsidRPr="00F770C1" w:rsidRDefault="00F770C1" w:rsidP="006832B8">
      <w:pPr>
        <w:spacing w:line="360" w:lineRule="auto"/>
      </w:pPr>
      <w:r w:rsidRPr="00F770C1">
        <w:tab/>
        <w:t xml:space="preserve"> Tree canopy closure s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6562F0">
      <w:pPr>
        <w:spacing w:line="480" w:lineRule="auto"/>
      </w:pPr>
      <w:r w:rsidRPr="00F770C1">
        <w:br w:type="page"/>
      </w:r>
    </w:p>
    <w:p w14:paraId="7331F62D" w14:textId="78CF2000" w:rsidR="00F770C1" w:rsidRPr="00F770C1" w:rsidRDefault="00F770C1" w:rsidP="00913D0D">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 canopy status, plant-available soil nitrogen, and plant-available phosphorus availability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 w:rsidRPr="00F770C1">
        <w:br w:type="page"/>
      </w:r>
    </w:p>
    <w:p w14:paraId="032D46E2" w14:textId="77777777" w:rsidR="00F770C1" w:rsidRPr="00F770C1" w:rsidRDefault="00F770C1" w:rsidP="00E9001C">
      <w:pPr>
        <w:spacing w:line="360" w:lineRule="auto"/>
        <w:rPr>
          <w:b/>
          <w:bCs/>
        </w:rPr>
      </w:pPr>
      <w:r w:rsidRPr="00F770C1">
        <w:rPr>
          <w:b/>
          <w:bCs/>
        </w:rPr>
        <w:lastRenderedPageBreak/>
        <w:t>Figure 2</w:t>
      </w:r>
    </w:p>
    <w:p w14:paraId="7B05092A" w14:textId="77777777" w:rsidR="00F770C1" w:rsidRPr="00F770C1" w:rsidRDefault="00F770C1" w:rsidP="00C76FB4">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54128529" w14:textId="327B1E07" w:rsidR="00F770C1" w:rsidRPr="00F770C1" w:rsidRDefault="00F770C1" w:rsidP="00E9001C">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weeded since 2006, and orange points and boxplots indicate measurements collected in plots where </w:t>
      </w:r>
      <w:r w:rsidRPr="00F770C1">
        <w:rPr>
          <w:i/>
          <w:iCs/>
        </w:rPr>
        <w:t>A</w:t>
      </w:r>
      <w:r w:rsidR="00E23690">
        <w:rPr>
          <w:i/>
          <w:iCs/>
        </w:rPr>
        <w:t>. petiolata</w:t>
      </w:r>
      <w:r w:rsidRPr="00F770C1">
        <w:t xml:space="preserve"> abundance has not been manipulated.</w:t>
      </w:r>
    </w:p>
    <w:p w14:paraId="658B4B9C" w14:textId="77777777" w:rsidR="00F770C1" w:rsidRPr="00F770C1" w:rsidRDefault="00F770C1">
      <w:r w:rsidRPr="00F770C1">
        <w:br w:type="page"/>
      </w:r>
    </w:p>
    <w:p w14:paraId="2BE09815" w14:textId="77777777" w:rsidR="00F770C1" w:rsidRPr="00F770C1" w:rsidRDefault="00F770C1" w:rsidP="00913D0D">
      <w:pPr>
        <w:spacing w:line="360" w:lineRule="auto"/>
      </w:pPr>
      <w:r w:rsidRPr="00F770C1">
        <w:rPr>
          <w:i/>
          <w:iCs/>
        </w:rPr>
        <w:lastRenderedPageBreak/>
        <w:t>Photosynthetic capacity</w:t>
      </w:r>
    </w:p>
    <w:p w14:paraId="6237337F" w14:textId="18C3A79E" w:rsidR="00F770C1" w:rsidRPr="00F770C1" w:rsidRDefault="00F770C1" w:rsidP="00913D0D">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501F7282" w14:textId="77777777" w:rsidR="0039546A" w:rsidRDefault="00F770C1" w:rsidP="00197358">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had no effect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p>
    <w:p w14:paraId="7ABF6F1E" w14:textId="7FED5D41" w:rsidR="00F770C1" w:rsidRPr="00F770C1" w:rsidRDefault="00F770C1" w:rsidP="00197358">
      <w:pPr>
        <w:spacing w:line="360" w:lineRule="auto"/>
      </w:pPr>
      <w:r w:rsidRPr="00F770C1">
        <w:rPr>
          <w:i/>
          <w:iCs/>
        </w:rPr>
        <w:br w:type="page"/>
      </w:r>
    </w:p>
    <w:p w14:paraId="1D16C5E4" w14:textId="084695FF" w:rsidR="00F770C1" w:rsidRPr="00F770C1" w:rsidRDefault="00F770C1" w:rsidP="007F645E">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7F645E">
      <w:r w:rsidRPr="00F770C1">
        <w:br w:type="page"/>
      </w:r>
    </w:p>
    <w:p w14:paraId="5D0CD006" w14:textId="77777777" w:rsidR="00F770C1" w:rsidRPr="00F770C1" w:rsidRDefault="00F770C1" w:rsidP="00E9001C">
      <w:pPr>
        <w:spacing w:line="360" w:lineRule="auto"/>
        <w:rPr>
          <w:b/>
          <w:bCs/>
        </w:rPr>
      </w:pPr>
      <w:r w:rsidRPr="00F770C1">
        <w:rPr>
          <w:b/>
          <w:bCs/>
        </w:rPr>
        <w:lastRenderedPageBreak/>
        <w:t>Figure 3</w:t>
      </w:r>
    </w:p>
    <w:p w14:paraId="4F955843" w14:textId="77777777" w:rsidR="00F770C1" w:rsidRPr="00F770C1" w:rsidRDefault="00F770C1" w:rsidP="00E9001C">
      <w:pPr>
        <w:spacing w:line="360" w:lineRule="auto"/>
        <w:jc w:val="center"/>
        <w:rPr>
          <w:b/>
          <w:bCs/>
        </w:rPr>
      </w:pPr>
      <w:r w:rsidRPr="00F770C1">
        <w:rPr>
          <w:b/>
          <w:bCs/>
          <w:noProof/>
        </w:rPr>
        <w:drawing>
          <wp:inline distT="0" distB="0" distL="0" distR="0" wp14:anchorId="43C75717" wp14:editId="5164D73C">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2F67D344" w14:textId="14BE7E8B" w:rsidR="00F770C1" w:rsidRPr="00F770C1" w:rsidRDefault="00F770C1" w:rsidP="00E9001C">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xml:space="preserve">. The bottom row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hand weeded since 2006, and orange points and boxplots indicate measurements collected in plots where </w:t>
      </w:r>
      <w:r w:rsidRPr="00F770C1">
        <w:rPr>
          <w:i/>
          <w:iCs/>
        </w:rPr>
        <w:t>A</w:t>
      </w:r>
      <w:r w:rsidR="00E23690">
        <w:rPr>
          <w:i/>
          <w:iCs/>
        </w:rPr>
        <w:t>. petiolata</w:t>
      </w:r>
      <w:r w:rsidRPr="00F770C1">
        <w:t xml:space="preserve"> abundance has not been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913D0D">
      <w:pPr>
        <w:spacing w:line="360" w:lineRule="auto"/>
      </w:pPr>
      <w:r w:rsidRPr="00F770C1">
        <w:rPr>
          <w:i/>
          <w:iCs/>
        </w:rPr>
        <w:lastRenderedPageBreak/>
        <w:t>Nitrogen-water use tradeoffs</w:t>
      </w:r>
    </w:p>
    <w:p w14:paraId="25852A01" w14:textId="4E8EECE1" w:rsidR="00F770C1" w:rsidRPr="00F770C1" w:rsidRDefault="00F770C1" w:rsidP="00913D0D">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had no effect on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&gt;0.05 in both cases; Table 4).</w:t>
      </w:r>
    </w:p>
    <w:p w14:paraId="00A93060" w14:textId="5E331CCC" w:rsidR="00F770C1" w:rsidRPr="00F770C1" w:rsidRDefault="00F770C1" w:rsidP="00913D0D">
      <w:pPr>
        <w:spacing w:line="360" w:lineRule="auto"/>
      </w:pPr>
      <w:r w:rsidRPr="00F770C1">
        <w:tab/>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D4994">
      <w:pPr>
        <w:spacing w:line="360" w:lineRule="auto"/>
      </w:pPr>
      <w:r w:rsidRPr="00F770C1">
        <w:br w:type="page"/>
      </w:r>
    </w:p>
    <w:p w14:paraId="33EF79BA" w14:textId="28F7261A" w:rsidR="00F770C1" w:rsidRPr="00F770C1" w:rsidRDefault="00F770C1" w:rsidP="007F645E">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nitrogen-water use tradeoffs</w:t>
      </w:r>
      <w:r w:rsidRPr="00F770C1">
        <w:rPr>
          <w:vertAlign w:val="superscript"/>
        </w:rPr>
        <w:t>*</w:t>
      </w:r>
    </w:p>
    <w:tbl>
      <w:tblPr>
        <w:tblW w:w="6623" w:type="dxa"/>
        <w:jc w:val="center"/>
        <w:tblLook w:val="04A0" w:firstRow="1" w:lastRow="0" w:firstColumn="1" w:lastColumn="0" w:noHBand="0" w:noVBand="1"/>
      </w:tblPr>
      <w:tblGrid>
        <w:gridCol w:w="222"/>
        <w:gridCol w:w="2308"/>
        <w:gridCol w:w="438"/>
        <w:gridCol w:w="1007"/>
        <w:gridCol w:w="883"/>
        <w:gridCol w:w="885"/>
        <w:gridCol w:w="880"/>
      </w:tblGrid>
      <w:tr w:rsidR="00F770C1" w:rsidRPr="00F770C1" w14:paraId="27FFE57C" w14:textId="77777777" w:rsidTr="00A01DCB">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308"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A01DCB">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308"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A01DCB">
        <w:trPr>
          <w:trHeight w:val="320"/>
          <w:jc w:val="center"/>
        </w:trPr>
        <w:tc>
          <w:tcPr>
            <w:tcW w:w="2530" w:type="dxa"/>
            <w:gridSpan w:val="2"/>
            <w:tcBorders>
              <w:top w:val="nil"/>
              <w:left w:val="nil"/>
              <w:bottom w:val="nil"/>
              <w:right w:val="nil"/>
            </w:tcBorders>
            <w:vAlign w:val="center"/>
          </w:tcPr>
          <w:p w14:paraId="71CE047C" w14:textId="0A39CD06"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A01DCB">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308" w:type="dxa"/>
            <w:tcBorders>
              <w:top w:val="nil"/>
              <w:left w:val="nil"/>
              <w:bottom w:val="nil"/>
              <w:right w:val="nil"/>
            </w:tcBorders>
            <w:shd w:val="clear" w:color="auto" w:fill="auto"/>
            <w:noWrap/>
            <w:vAlign w:val="center"/>
            <w:hideMark/>
          </w:tcPr>
          <w:p w14:paraId="2DC56971" w14:textId="0B14E0F4"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A01DCB">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A01DCB">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A01DCB">
        <w:trPr>
          <w:trHeight w:val="320"/>
          <w:jc w:val="center"/>
        </w:trPr>
        <w:tc>
          <w:tcPr>
            <w:tcW w:w="2530" w:type="dxa"/>
            <w:gridSpan w:val="2"/>
            <w:tcBorders>
              <w:top w:val="nil"/>
              <w:left w:val="nil"/>
              <w:bottom w:val="nil"/>
              <w:right w:val="nil"/>
            </w:tcBorders>
            <w:vAlign w:val="center"/>
          </w:tcPr>
          <w:p w14:paraId="47597198" w14:textId="59DB7CF8"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A01DCB">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23EB95B5" w14:textId="32F2B1A0"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A01DC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A01DC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308"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913D0D">
      <w:pPr>
        <w:spacing w:line="360" w:lineRule="auto"/>
        <w:rPr>
          <w:b/>
          <w:bCs/>
        </w:rPr>
      </w:pPr>
      <w:r w:rsidRPr="00F770C1">
        <w:rPr>
          <w:b/>
          <w:bCs/>
        </w:rPr>
        <w:lastRenderedPageBreak/>
        <w:t>Figure 4</w:t>
      </w:r>
    </w:p>
    <w:p w14:paraId="5E99A1DB" w14:textId="77777777" w:rsidR="00F770C1" w:rsidRPr="00F770C1" w:rsidRDefault="00F770C1" w:rsidP="00E9001C">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3790715" cy="3790715"/>
                    </a:xfrm>
                    <a:prstGeom prst="rect">
                      <a:avLst/>
                    </a:prstGeom>
                  </pic:spPr>
                </pic:pic>
              </a:graphicData>
            </a:graphic>
          </wp:inline>
        </w:drawing>
      </w:r>
    </w:p>
    <w:p w14:paraId="2F7685C4" w14:textId="54645DF4" w:rsidR="00364A01" w:rsidRDefault="00F770C1" w:rsidP="003A4A5F">
      <w:pPr>
        <w:spacing w:line="360" w:lineRule="auto"/>
      </w:pPr>
      <w:r w:rsidRPr="00F770C1">
        <w:rPr>
          <w:b/>
          <w:bCs/>
        </w:rPr>
        <w:t>Figure 4</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xml:space="preserve">. The bottom row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has been hand weeded since 2006, and orange points and boxplots indicate measurements collected in plots where </w:t>
      </w:r>
      <w:r w:rsidR="003A4A5F" w:rsidRPr="00F770C1">
        <w:rPr>
          <w:i/>
          <w:iCs/>
        </w:rPr>
        <w:t>A</w:t>
      </w:r>
      <w:r w:rsidR="00A01DCB">
        <w:rPr>
          <w:i/>
          <w:iCs/>
        </w:rPr>
        <w:t>. petiolata</w:t>
      </w:r>
      <w:r w:rsidR="003A4A5F" w:rsidRPr="00F770C1">
        <w:t xml:space="preserve"> abundance has not been manipulated.</w:t>
      </w:r>
    </w:p>
    <w:p w14:paraId="17ECF08D" w14:textId="103DD73A" w:rsidR="00F770C1" w:rsidRPr="003A4A5F" w:rsidRDefault="00F770C1" w:rsidP="003A4A5F">
      <w:pPr>
        <w:spacing w:line="360" w:lineRule="auto"/>
      </w:pPr>
      <w:r w:rsidRPr="00F770C1">
        <w:rPr>
          <w:b/>
          <w:bCs/>
        </w:rPr>
        <w:br w:type="page"/>
      </w:r>
    </w:p>
    <w:p w14:paraId="77D51089" w14:textId="77777777" w:rsidR="00F770C1" w:rsidRPr="00F770C1" w:rsidRDefault="00F770C1" w:rsidP="00913D0D">
      <w:pPr>
        <w:spacing w:line="360" w:lineRule="auto"/>
        <w:rPr>
          <w:b/>
          <w:bCs/>
        </w:rPr>
      </w:pPr>
      <w:r w:rsidRPr="00F770C1">
        <w:rPr>
          <w:b/>
          <w:bCs/>
        </w:rPr>
        <w:lastRenderedPageBreak/>
        <w:t>Discussion</w:t>
      </w:r>
    </w:p>
    <w:p w14:paraId="43E84444" w14:textId="2207EFDE" w:rsidR="00F770C1" w:rsidRPr="00F770C1" w:rsidRDefault="00F770C1" w:rsidP="00913D0D">
      <w:pPr>
        <w:spacing w:line="360" w:lineRule="auto"/>
      </w:pPr>
      <w:r w:rsidRPr="00F770C1">
        <w:t xml:space="preserve">Gas exchange data were collected from two native AM-associating species growing in a long-term </w:t>
      </w:r>
      <w:r w:rsidRPr="00F770C1">
        <w:rPr>
          <w:i/>
          <w:iCs/>
        </w:rPr>
        <w:t>A</w:t>
      </w:r>
      <w:r w:rsidR="00A01DCB">
        <w:rPr>
          <w:i/>
          <w:iCs/>
        </w:rPr>
        <w:t>. petiolata</w:t>
      </w:r>
      <w:r w:rsidRPr="00F770C1">
        <w:t xml:space="preserve"> removal experiment. </w:t>
      </w:r>
      <w:r w:rsidRPr="00F770C1">
        <w:rPr>
          <w:i/>
          <w:iCs/>
        </w:rPr>
        <w:t>Alliaria</w:t>
      </w:r>
      <w:r w:rsidR="00A01DCB">
        <w:rPr>
          <w:i/>
          <w:iCs/>
        </w:rPr>
        <w:t xml:space="preserve"> petiolata</w:t>
      </w:r>
      <w:r w:rsidRPr="00F770C1">
        <w:t xml:space="preserve"> presence has been previously shown to reorganize belowground AM fungal communities through </w:t>
      </w:r>
      <w:proofErr w:type="spellStart"/>
      <w:r w:rsidRPr="00F770C1">
        <w:t>glucosinolate</w:t>
      </w:r>
      <w:proofErr w:type="spellEnd"/>
      <w:r w:rsidRPr="00F770C1">
        <w:t xml:space="preserve"> exudation (CITE), and a recent study showed that </w:t>
      </w:r>
      <w:r w:rsidRPr="00F770C1">
        <w:rPr>
          <w:i/>
          <w:iCs/>
        </w:rPr>
        <w:t>A</w:t>
      </w:r>
      <w:r w:rsidR="00A01DCB">
        <w:rPr>
          <w:i/>
          <w:iCs/>
        </w:rPr>
        <w:t>. petiolata</w:t>
      </w:r>
      <w:r w:rsidRPr="00F770C1">
        <w:t xml:space="preserve"> presence alters native plant nutrient and water economies </w:t>
      </w:r>
      <w:sdt>
        <w:sdtPr>
          <w:tag w:val="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
          <w:id w:val="-1918779218"/>
          <w:placeholder>
            <w:docPart w:val="1B45E6CBD4D18A4CABCF44403BCF2EC2"/>
          </w:placeholder>
        </w:sdtPr>
        <w:sdtContent>
          <w:r w:rsidR="00D62E48">
            <w:rPr>
              <w:rFonts w:eastAsia="Times New Roman"/>
            </w:rPr>
            <w:t>(</w:t>
          </w:r>
          <w:proofErr w:type="spellStart"/>
          <w:r w:rsidR="00D62E48">
            <w:rPr>
              <w:rFonts w:eastAsia="Times New Roman"/>
            </w:rPr>
            <w:t>Bialic</w:t>
          </w:r>
          <w:proofErr w:type="spellEnd"/>
          <w:r w:rsidR="00D62E48">
            <w:rPr>
              <w:rFonts w:eastAsia="Times New Roman"/>
            </w:rPr>
            <w:t xml:space="preserve">‐Murphy </w:t>
          </w:r>
          <w:r w:rsidR="00D62E48">
            <w:rPr>
              <w:rFonts w:eastAsia="Times New Roman"/>
              <w:i/>
              <w:iCs/>
            </w:rPr>
            <w:t>et al.</w:t>
          </w:r>
          <w:r w:rsidR="00D62E48">
            <w:rPr>
              <w:rFonts w:eastAsia="Times New Roman"/>
            </w:rPr>
            <w:t>, 2021)</w:t>
          </w:r>
        </w:sdtContent>
      </w:sdt>
      <w:r w:rsidRPr="00F770C1">
        <w:t>.</w:t>
      </w:r>
    </w:p>
    <w:p w14:paraId="408FBF24" w14:textId="77777777" w:rsidR="00F770C1" w:rsidRPr="00F770C1" w:rsidRDefault="00F770C1">
      <w:pPr>
        <w:rPr>
          <w:b/>
          <w:bCs/>
        </w:rPr>
      </w:pPr>
      <w:r w:rsidRPr="00F770C1">
        <w:rPr>
          <w:b/>
          <w:bCs/>
        </w:rPr>
        <w:br w:type="page"/>
      </w:r>
    </w:p>
    <w:p w14:paraId="65A4AB22" w14:textId="77777777" w:rsidR="00F770C1" w:rsidRPr="00F770C1" w:rsidRDefault="00F770C1" w:rsidP="00913D0D">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4F9F1E30" w14:textId="77777777" w:rsidR="00D62E48" w:rsidRDefault="00D62E48">
          <w:pPr>
            <w:divId w:val="1614095272"/>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2655F3D3" w14:textId="77777777" w:rsidR="00D62E48" w:rsidRDefault="00D62E48">
          <w:pPr>
            <w:divId w:val="2101027369"/>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4A77BE11" w14:textId="77777777" w:rsidR="00D62E48" w:rsidRDefault="00D62E48">
          <w:pPr>
            <w:divId w:val="229274494"/>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6EC378E6" w14:textId="77777777" w:rsidR="00D62E48" w:rsidRDefault="00D62E48">
          <w:pPr>
            <w:divId w:val="1264457081"/>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5C0210E1" w14:textId="77777777" w:rsidR="00D62E48" w:rsidRDefault="00D62E48">
          <w:pPr>
            <w:divId w:val="1280645321"/>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564E755B" w14:textId="77777777" w:rsidR="00D62E48" w:rsidRDefault="00D62E48">
          <w:pPr>
            <w:divId w:val="1726175159"/>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1AF91A4C" w14:textId="77777777" w:rsidR="00D62E48" w:rsidRDefault="00D62E48">
          <w:pPr>
            <w:divId w:val="974336295"/>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6172A136" w14:textId="77777777" w:rsidR="00D62E48" w:rsidRDefault="00D62E48">
          <w:pPr>
            <w:divId w:val="1219316417"/>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059F7906" w14:textId="77777777" w:rsidR="00D62E48" w:rsidRDefault="00D62E48">
          <w:pPr>
            <w:divId w:val="2085910620"/>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51F29DF1" w14:textId="77777777" w:rsidR="00D62E48" w:rsidRDefault="00D62E48">
          <w:pPr>
            <w:divId w:val="494034154"/>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63A1FA52" w14:textId="77777777" w:rsidR="00D62E48" w:rsidRDefault="00D62E48">
          <w:pPr>
            <w:divId w:val="494880627"/>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580CF879" w14:textId="77777777" w:rsidR="00D62E48" w:rsidRDefault="00D62E48">
          <w:pPr>
            <w:divId w:val="680668629"/>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04A52E40" w14:textId="77777777" w:rsidR="00D62E48" w:rsidRDefault="00D62E48">
          <w:pPr>
            <w:divId w:val="1467120353"/>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4FEBFD21" w14:textId="77777777" w:rsidR="00D62E48" w:rsidRDefault="00D62E48">
          <w:pPr>
            <w:divId w:val="803235105"/>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2B5AB774" w14:textId="77777777" w:rsidR="00D62E48" w:rsidRDefault="00D62E48">
          <w:pPr>
            <w:divId w:val="1148522946"/>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523C9629" w14:textId="77777777" w:rsidR="00D62E48" w:rsidRDefault="00D62E48">
          <w:pPr>
            <w:divId w:val="1074083504"/>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7959857F" w14:textId="77777777" w:rsidR="00D62E48" w:rsidRDefault="00D62E48">
          <w:pPr>
            <w:divId w:val="316569372"/>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7A635AD6" w14:textId="77777777" w:rsidR="00D62E48" w:rsidRDefault="00D62E48">
          <w:pPr>
            <w:divId w:val="311178561"/>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50A0ADC4" w14:textId="77777777" w:rsidR="00D62E48" w:rsidRDefault="00D62E48">
          <w:pPr>
            <w:divId w:val="573396376"/>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3F3712F1" w14:textId="77777777" w:rsidR="00D62E48" w:rsidRDefault="00D62E48">
          <w:pPr>
            <w:divId w:val="1293053749"/>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3EDE801E" w14:textId="77777777" w:rsidR="00D62E48" w:rsidRDefault="00D62E48">
          <w:pPr>
            <w:divId w:val="1687829397"/>
            <w:rPr>
              <w:rFonts w:eastAsia="Times New Roman"/>
            </w:rPr>
          </w:pPr>
          <w:r>
            <w:rPr>
              <w:rFonts w:eastAsia="Times New Roman"/>
              <w:b/>
              <w:bCs/>
            </w:rPr>
            <w:lastRenderedPageBreak/>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78E5CD32" w14:textId="77777777" w:rsidR="00D62E48" w:rsidRDefault="00D62E48">
          <w:pPr>
            <w:divId w:val="1736389041"/>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0D2B43FD" w14:textId="22FDF040" w:rsidR="00F770C1" w:rsidRPr="00F770C1" w:rsidRDefault="00D62E48">
          <w:r>
            <w:rPr>
              <w:rFonts w:eastAsia="Times New Roman"/>
            </w:rPr>
            <w:t> </w:t>
          </w:r>
        </w:p>
      </w:sdtContent>
    </w:sdt>
    <w:sectPr w:rsidR="00F770C1" w:rsidRPr="00F770C1" w:rsidSect="007B7F8E">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255BD" w14:textId="77777777" w:rsidR="007B7F8E" w:rsidRDefault="007B7F8E" w:rsidP="00285858">
      <w:r>
        <w:separator/>
      </w:r>
    </w:p>
  </w:endnote>
  <w:endnote w:type="continuationSeparator" w:id="0">
    <w:p w14:paraId="75635CCE" w14:textId="77777777" w:rsidR="007B7F8E" w:rsidRDefault="007B7F8E"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E316E" w14:textId="77777777" w:rsidR="007B7F8E" w:rsidRDefault="007B7F8E" w:rsidP="00285858">
      <w:r>
        <w:separator/>
      </w:r>
    </w:p>
  </w:footnote>
  <w:footnote w:type="continuationSeparator" w:id="0">
    <w:p w14:paraId="770C618E" w14:textId="77777777" w:rsidR="007B7F8E" w:rsidRDefault="007B7F8E"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0C422B"/>
    <w:rsid w:val="0011234C"/>
    <w:rsid w:val="00123D00"/>
    <w:rsid w:val="001308AB"/>
    <w:rsid w:val="00136B56"/>
    <w:rsid w:val="00175955"/>
    <w:rsid w:val="00197358"/>
    <w:rsid w:val="001A09B0"/>
    <w:rsid w:val="001A2728"/>
    <w:rsid w:val="001B3C09"/>
    <w:rsid w:val="001E1C7E"/>
    <w:rsid w:val="001F505B"/>
    <w:rsid w:val="00203C6A"/>
    <w:rsid w:val="002107B2"/>
    <w:rsid w:val="00212FB2"/>
    <w:rsid w:val="00235A02"/>
    <w:rsid w:val="00241CD9"/>
    <w:rsid w:val="002423EA"/>
    <w:rsid w:val="00284240"/>
    <w:rsid w:val="0028554D"/>
    <w:rsid w:val="00285858"/>
    <w:rsid w:val="00293A02"/>
    <w:rsid w:val="002C35BD"/>
    <w:rsid w:val="002D307F"/>
    <w:rsid w:val="002E3688"/>
    <w:rsid w:val="002E458A"/>
    <w:rsid w:val="002F4E97"/>
    <w:rsid w:val="003041B7"/>
    <w:rsid w:val="0031604E"/>
    <w:rsid w:val="00364A01"/>
    <w:rsid w:val="00364F00"/>
    <w:rsid w:val="003655AE"/>
    <w:rsid w:val="0038126F"/>
    <w:rsid w:val="003824EC"/>
    <w:rsid w:val="0039101A"/>
    <w:rsid w:val="0039546A"/>
    <w:rsid w:val="003A4A5F"/>
    <w:rsid w:val="003D3282"/>
    <w:rsid w:val="003D4EE7"/>
    <w:rsid w:val="00411C26"/>
    <w:rsid w:val="0044470D"/>
    <w:rsid w:val="00444CFB"/>
    <w:rsid w:val="00450B58"/>
    <w:rsid w:val="004608FF"/>
    <w:rsid w:val="00490B06"/>
    <w:rsid w:val="00491AB4"/>
    <w:rsid w:val="004946BF"/>
    <w:rsid w:val="004A2A88"/>
    <w:rsid w:val="004A6C2B"/>
    <w:rsid w:val="004B0D95"/>
    <w:rsid w:val="004C5407"/>
    <w:rsid w:val="004D5592"/>
    <w:rsid w:val="0050762D"/>
    <w:rsid w:val="00524C4D"/>
    <w:rsid w:val="00543998"/>
    <w:rsid w:val="00572526"/>
    <w:rsid w:val="005770D2"/>
    <w:rsid w:val="005E03B6"/>
    <w:rsid w:val="005E0508"/>
    <w:rsid w:val="005E07AF"/>
    <w:rsid w:val="005E35C5"/>
    <w:rsid w:val="005E5B2D"/>
    <w:rsid w:val="00617289"/>
    <w:rsid w:val="00631408"/>
    <w:rsid w:val="00636157"/>
    <w:rsid w:val="00644874"/>
    <w:rsid w:val="006458CB"/>
    <w:rsid w:val="0064614D"/>
    <w:rsid w:val="006562F0"/>
    <w:rsid w:val="006620D4"/>
    <w:rsid w:val="00663DE0"/>
    <w:rsid w:val="00671B1E"/>
    <w:rsid w:val="006832B8"/>
    <w:rsid w:val="006A3541"/>
    <w:rsid w:val="006A5E21"/>
    <w:rsid w:val="006D57BA"/>
    <w:rsid w:val="007073AA"/>
    <w:rsid w:val="00733121"/>
    <w:rsid w:val="00750581"/>
    <w:rsid w:val="007848D7"/>
    <w:rsid w:val="0079579F"/>
    <w:rsid w:val="007B7F8E"/>
    <w:rsid w:val="007C3F6E"/>
    <w:rsid w:val="007C6A92"/>
    <w:rsid w:val="007E55AD"/>
    <w:rsid w:val="007F645E"/>
    <w:rsid w:val="00826A65"/>
    <w:rsid w:val="00843EA1"/>
    <w:rsid w:val="00860356"/>
    <w:rsid w:val="00864EAB"/>
    <w:rsid w:val="008940F5"/>
    <w:rsid w:val="008A0148"/>
    <w:rsid w:val="008E1487"/>
    <w:rsid w:val="009105F0"/>
    <w:rsid w:val="00913D0D"/>
    <w:rsid w:val="00932238"/>
    <w:rsid w:val="009549CC"/>
    <w:rsid w:val="00957456"/>
    <w:rsid w:val="0096419D"/>
    <w:rsid w:val="00972AEB"/>
    <w:rsid w:val="0097572D"/>
    <w:rsid w:val="00991673"/>
    <w:rsid w:val="009A6BBC"/>
    <w:rsid w:val="009B0711"/>
    <w:rsid w:val="009D391C"/>
    <w:rsid w:val="009E7D94"/>
    <w:rsid w:val="00A01868"/>
    <w:rsid w:val="00A01DCB"/>
    <w:rsid w:val="00A420AE"/>
    <w:rsid w:val="00A97315"/>
    <w:rsid w:val="00AA0751"/>
    <w:rsid w:val="00AA7EBA"/>
    <w:rsid w:val="00AB450E"/>
    <w:rsid w:val="00AE66E9"/>
    <w:rsid w:val="00B068A8"/>
    <w:rsid w:val="00B1174F"/>
    <w:rsid w:val="00B15F60"/>
    <w:rsid w:val="00B46D0F"/>
    <w:rsid w:val="00B66741"/>
    <w:rsid w:val="00B736A2"/>
    <w:rsid w:val="00B963B9"/>
    <w:rsid w:val="00BA3410"/>
    <w:rsid w:val="00BC3D64"/>
    <w:rsid w:val="00BE51A0"/>
    <w:rsid w:val="00BE5EE9"/>
    <w:rsid w:val="00BE644C"/>
    <w:rsid w:val="00C34ADE"/>
    <w:rsid w:val="00C6298E"/>
    <w:rsid w:val="00C76FB4"/>
    <w:rsid w:val="00C93388"/>
    <w:rsid w:val="00C97D6A"/>
    <w:rsid w:val="00CB6283"/>
    <w:rsid w:val="00CE0882"/>
    <w:rsid w:val="00CE0D09"/>
    <w:rsid w:val="00CE631D"/>
    <w:rsid w:val="00CE7E1C"/>
    <w:rsid w:val="00CF0589"/>
    <w:rsid w:val="00CF5033"/>
    <w:rsid w:val="00D35F57"/>
    <w:rsid w:val="00D50E09"/>
    <w:rsid w:val="00D52D41"/>
    <w:rsid w:val="00D62E48"/>
    <w:rsid w:val="00D71634"/>
    <w:rsid w:val="00D8722D"/>
    <w:rsid w:val="00D910AD"/>
    <w:rsid w:val="00DB142B"/>
    <w:rsid w:val="00DC1A63"/>
    <w:rsid w:val="00DC4650"/>
    <w:rsid w:val="00DD70FC"/>
    <w:rsid w:val="00DE1453"/>
    <w:rsid w:val="00DF31C2"/>
    <w:rsid w:val="00E23690"/>
    <w:rsid w:val="00E63F51"/>
    <w:rsid w:val="00E9001C"/>
    <w:rsid w:val="00EA0719"/>
    <w:rsid w:val="00EA0AE8"/>
    <w:rsid w:val="00EB10FE"/>
    <w:rsid w:val="00EC65C8"/>
    <w:rsid w:val="00ED72E0"/>
    <w:rsid w:val="00F02956"/>
    <w:rsid w:val="00F16034"/>
    <w:rsid w:val="00F770C1"/>
    <w:rsid w:val="00F77F2C"/>
    <w:rsid w:val="00FA4962"/>
    <w:rsid w:val="00FC26F9"/>
    <w:rsid w:val="00FD4994"/>
    <w:rsid w:val="00FD5EED"/>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160CFB"/>
    <w:rsid w:val="00312218"/>
    <w:rsid w:val="00365848"/>
    <w:rsid w:val="00673033"/>
    <w:rsid w:val="006E1E9A"/>
    <w:rsid w:val="007F72AF"/>
    <w:rsid w:val="00827C3C"/>
    <w:rsid w:val="009055B3"/>
    <w:rsid w:val="009D777B"/>
    <w:rsid w:val="00A7105D"/>
    <w:rsid w:val="00AE212E"/>
    <w:rsid w:val="00B02FD6"/>
    <w:rsid w:val="00B04AA9"/>
    <w:rsid w:val="00C75DAA"/>
    <w:rsid w:val="00E81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0CFB"/>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c5ef149a-4378-401b-9b58-816c038ed4fd&quot;,&quot;properties&quot;:{&quot;noteIndex&quot;:0},&quot;isEdited&quot;:false,&quot;manualOverride&quot;:{&quot;citeprocText&quot;:&quot;(Roche &lt;i&gt;et al.&lt;/i&gt;, 2021)&quot;,&quot;isManuallyOverridden&quot;:false,&quot;manualOverrideText&quot;:&quot;&quot;},&quot;citationTag&quot;:&quot;MENDELEY_CITATION_v3_eyJjaXRhdGlvbklEIjoiTUVOREVMRVlfQ0lUQVRJT05fYzVlZjE0OWEtNDM3OC00MDFiLTliNTgtODE2YzAzOGVkNGZkIiwicHJvcGVydGllcyI6eyJub3RlSW5kZXgiOjB9LCJpc0VkaXRlZCI6ZmFsc2UsIm1hbnVhbE92ZXJyaWRlIjp7ImNpdGVwcm9jVGV4dCI6IihSb2NoZSA8aT5ldCBhbC48L2k+LCAyMDIxKSIsImlzTWFudWFsbHlPdmVycmlkZGVuIjpmYWxzZSwibWFudWFsT3ZlcnJpZGVUZXh0IjoiIn0sImNpdGF0aW9uSXRlbXMiOlt7ImlkIjoiZWM4MWMzZWQtNjA0MS01MGE0LTk5N2MtYjNmZWQ1YWRhNmFmIiwiaXRlbURhdGEiOnsiRE9JIjoiMTAuMTAwMi9lY3kuMzIwMSIsIklTU04iOiIxOTM5OTE3MCIsIlBNSUQiOiIzMjk3MDg0N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&quot;,&quot;citationItems&quot;:[{&quot;id&quot;:&quot;ec81c3ed-6041-50a4-997c-b3fed5ada6af&quot;,&quot;itemData&quot;:{&quot;DOI&quot;:&quot;10.1002/ecy.3201&quot;,&quot;ISSN&quot;:&quot;19399170&quot;,&quot;PMID&quot;:&quot;32970846&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author&quot;:[{&quot;dropping-particle&quot;:&quot;&quot;,&quot;family&quot;:&quot;Roche&quot;,&quot;given&quot;:&quot;Morgan D.&quot;,&quot;non-dropping-particle&quot;:&quot;&quot;,&quot;parse-names&quot;:false,&quot;suffix&quot;:&quot;&quot;},{&quot;dropping-particle&quot;:&quot;&quot;,&quot;family&quot;:&quot;Pearse&quot;,&quot;given&quot;:&quot;Ian S.&quot;,&quot;non-dropping-particle&quot;:&quot;&quot;,&quot;parse-names&quot;:false,&quot;suffix&quot;:&quot;&quot;},{&quot;dropping-particle&quot;:&quot;&quot;,&quot;family&quot;:&quot;Bialic-Murphy&quot;,&quot;given&quot;:&quot;Lalasia&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Sofaer&quot;,&quot;given&quot;:&quot;Helen R.&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quot;,&quot;id&quot;:&quot;ec81c3ed-6041-50a4-997c-b3fed5ada6af&quot;,&quot;issue&quot;:&quot;1&quot;,&quot;issued&quot;:{&quot;date-parts&quot;:[[&quot;2021&quot;]]},&quot;page&quot;:&quot;1-12&quot;,&quot;title&quot;:&quot;Negative effects of an allelopathic invader on AM fungal plant species drive community-level responses&quot;,&quot;type&quot;:&quot;article-journal&quot;,&quot;volume&quot;:&quot;102&quot;,&quot;container-title-short&quot;:&quot;Ecology&quot;},&quot;uris&quot;:[&quot;http://www.mendeley.com/documents/?uuid=2e69f8e1-f189-4bb2-8700-3fa09b2049de&quot;],&quot;isTemporary&quot;:false,&quot;legacyDesktopId&quot;:&quot;2e69f8e1-f189-4bb2-8700-3fa09b2049de&quot;}]},{&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false,&quot;manualOverrideText&quot;:&quot;&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0beb697e-8087-4ee0-8d81-23fb0151b09d&quot;,&quot;properties&quot;:{&quot;noteIndex&quot;:0},&quot;isEdited&quot;:false,&quot;manualOverride&quot;:{&quot;citeprocText&quot;:&quot;(Bialic‐Murphy &lt;i&gt;et al.&lt;/i&gt;, 2021)&quot;,&quot;isManuallyOverridden&quot;:false,&quot;manualOverrideText&quot;:&quot;&quot;},&quot;citationTag&quot;:&quot;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container-title-short&quot;:&quot;Ecol Lett&quot;},&quot;uris&quot;:[&quot;http://www.mendeley.com/documents/?uuid=40e8c158-e0e6-42ac-bc96-6a2d1831408e&quot;],&quot;isTemporary&quot;:false,&quot;legacyDesktopId&quot;:&quot;40e8c158-e0e6-42ac-bc96-6a2d1831408e&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22</Pages>
  <Words>4974</Words>
  <Characters>28356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50</cp:revision>
  <cp:lastPrinted>2024-01-24T22:31:00Z</cp:lastPrinted>
  <dcterms:created xsi:type="dcterms:W3CDTF">2023-12-07T20:44:00Z</dcterms:created>
  <dcterms:modified xsi:type="dcterms:W3CDTF">2024-02-05T21:53:00Z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